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26980" w14:textId="77777777" w:rsidR="00A00526" w:rsidRPr="005C1A1A" w:rsidRDefault="00A00526" w:rsidP="00A00526">
      <w:pPr>
        <w:spacing w:after="120"/>
        <w:rPr>
          <w:rFonts w:ascii="Century Gothic" w:hAnsi="Century Gothic" w:cs="Arial"/>
          <w:b/>
          <w:bCs/>
          <w:sz w:val="32"/>
        </w:rPr>
      </w:pPr>
      <w:bookmarkStart w:id="0" w:name="_GoBack"/>
      <w:bookmarkEnd w:id="0"/>
      <w:r w:rsidRPr="005C1A1A">
        <w:rPr>
          <w:rFonts w:ascii="Century Gothic" w:hAnsi="Century Gothic" w:cs="Arial"/>
          <w:b/>
          <w:bCs/>
          <w:noProof/>
          <w:sz w:val="32"/>
          <w:lang w:eastAsia="de-AT" w:bidi="he-IL"/>
        </w:rPr>
        <mc:AlternateContent>
          <mc:Choice Requires="wps">
            <w:drawing>
              <wp:anchor distT="0" distB="0" distL="114300" distR="114300" simplePos="0" relativeHeight="251659264" behindDoc="0" locked="0" layoutInCell="1" allowOverlap="1" wp14:anchorId="7D4C6B82" wp14:editId="77C56584">
                <wp:simplePos x="0" y="0"/>
                <wp:positionH relativeFrom="column">
                  <wp:posOffset>3375660</wp:posOffset>
                </wp:positionH>
                <wp:positionV relativeFrom="paragraph">
                  <wp:posOffset>-392430</wp:posOffset>
                </wp:positionV>
                <wp:extent cx="2720975" cy="1066800"/>
                <wp:effectExtent l="0" t="0" r="0" b="0"/>
                <wp:wrapSquare wrapText="bothSides"/>
                <wp:docPr id="4" name="Textfeld 4"/>
                <wp:cNvGraphicFramePr/>
                <a:graphic xmlns:a="http://schemas.openxmlformats.org/drawingml/2006/main">
                  <a:graphicData uri="http://schemas.microsoft.com/office/word/2010/wordprocessingShape">
                    <wps:wsp>
                      <wps:cNvSpPr txBox="1"/>
                      <wps:spPr>
                        <a:xfrm>
                          <a:off x="0" y="0"/>
                          <a:ext cx="2720975"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E99CC" w14:textId="77777777" w:rsidR="00A00526" w:rsidRDefault="00A00526" w:rsidP="00A00526">
                            <w:pPr>
                              <w:jc w:val="both"/>
                            </w:pPr>
                            <w:r>
                              <w:rPr>
                                <w:noProof/>
                                <w:lang w:eastAsia="de-AT" w:bidi="he-IL"/>
                              </w:rPr>
                              <w:drawing>
                                <wp:inline distT="0" distB="0" distL="0" distR="0" wp14:anchorId="1E5F5B75" wp14:editId="4B4454B8">
                                  <wp:extent cx="2641600" cy="680720"/>
                                  <wp:effectExtent l="0" t="0" r="6350" b="5080"/>
                                  <wp:docPr id="1"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14:paraId="0EBF21EC" w14:textId="77777777" w:rsidR="0069140F" w:rsidRPr="0069140F" w:rsidRDefault="0069140F" w:rsidP="005C1A1A">
                            <w:pPr>
                              <w:spacing w:before="240"/>
                              <w:jc w:val="right"/>
                              <w:rPr>
                                <w:sz w:val="18"/>
                                <w:szCs w:val="18"/>
                              </w:rPr>
                            </w:pPr>
                            <w:r>
                              <w:rPr>
                                <w:sz w:val="18"/>
                                <w:szCs w:val="18"/>
                              </w:rPr>
                              <w:t>V</w:t>
                            </w:r>
                            <w:r w:rsidRPr="0069140F">
                              <w:rPr>
                                <w:sz w:val="18"/>
                                <w:szCs w:val="18"/>
                              </w:rPr>
                              <w:t xml:space="preserve">ersion </w:t>
                            </w:r>
                            <w:r w:rsidR="005C1A1A">
                              <w:rPr>
                                <w:sz w:val="18"/>
                                <w:szCs w:val="18"/>
                              </w:rPr>
                              <w:t>10. 3.</w:t>
                            </w:r>
                            <w:r w:rsidRPr="0069140F">
                              <w:rPr>
                                <w:sz w:val="18"/>
                                <w:szCs w:val="18"/>
                              </w:rPr>
                              <w:t xml:space="preserve"> 201</w:t>
                            </w:r>
                            <w:r w:rsidR="00D82E73">
                              <w:rPr>
                                <w:sz w:val="18"/>
                                <w:szCs w:val="18"/>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C6B82" id="_x0000_t202" coordsize="21600,21600" o:spt="202" path="m,l,21600r21600,l21600,xe">
                <v:stroke joinstyle="miter"/>
                <v:path gradientshapeok="t" o:connecttype="rect"/>
              </v:shapetype>
              <v:shape id="Textfeld 4" o:spid="_x0000_s1026" type="#_x0000_t202" style="position:absolute;margin-left:265.8pt;margin-top:-30.9pt;width:214.25pt;height:8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" filled="f" stroked="f" strokeweight=".5pt">
                <v:textbox>
                  <w:txbxContent>
                    <w:p w14:paraId="78DE99CC" w14:textId="77777777" w:rsidR="00A00526" w:rsidRDefault="00A00526" w:rsidP="00A00526">
                      <w:pPr>
                        <w:jc w:val="both"/>
                      </w:pPr>
                      <w:r>
                        <w:rPr>
                          <w:noProof/>
                          <w:lang w:eastAsia="de-AT" w:bidi="he-IL"/>
                        </w:rPr>
                        <w:drawing>
                          <wp:inline distT="0" distB="0" distL="0" distR="0" wp14:anchorId="1E5F5B75" wp14:editId="4B4454B8">
                            <wp:extent cx="2641600" cy="680720"/>
                            <wp:effectExtent l="0" t="0" r="6350" b="5080"/>
                            <wp:docPr id="1"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14:paraId="0EBF21EC" w14:textId="77777777" w:rsidR="0069140F" w:rsidRPr="0069140F" w:rsidRDefault="0069140F" w:rsidP="005C1A1A">
                      <w:pPr>
                        <w:spacing w:before="240"/>
                        <w:jc w:val="right"/>
                        <w:rPr>
                          <w:sz w:val="18"/>
                          <w:szCs w:val="18"/>
                        </w:rPr>
                      </w:pPr>
                      <w:r>
                        <w:rPr>
                          <w:sz w:val="18"/>
                          <w:szCs w:val="18"/>
                        </w:rPr>
                        <w:t>V</w:t>
                      </w:r>
                      <w:r w:rsidRPr="0069140F">
                        <w:rPr>
                          <w:sz w:val="18"/>
                          <w:szCs w:val="18"/>
                        </w:rPr>
                        <w:t xml:space="preserve">ersion </w:t>
                      </w:r>
                      <w:r w:rsidR="005C1A1A">
                        <w:rPr>
                          <w:sz w:val="18"/>
                          <w:szCs w:val="18"/>
                        </w:rPr>
                        <w:t>10. 3.</w:t>
                      </w:r>
                      <w:r w:rsidRPr="0069140F">
                        <w:rPr>
                          <w:sz w:val="18"/>
                          <w:szCs w:val="18"/>
                        </w:rPr>
                        <w:t xml:space="preserve"> 201</w:t>
                      </w:r>
                      <w:r w:rsidR="00D82E73">
                        <w:rPr>
                          <w:sz w:val="18"/>
                          <w:szCs w:val="18"/>
                        </w:rPr>
                        <w:t>8</w:t>
                      </w:r>
                    </w:p>
                  </w:txbxContent>
                </v:textbox>
                <w10:wrap type="square"/>
              </v:shape>
            </w:pict>
          </mc:Fallback>
        </mc:AlternateContent>
      </w:r>
      <w:r w:rsidRPr="005C1A1A">
        <w:rPr>
          <w:rFonts w:ascii="Century Gothic" w:hAnsi="Century Gothic" w:cs="Arial"/>
          <w:b/>
          <w:bCs/>
          <w:sz w:val="32"/>
        </w:rPr>
        <w:t>Verpflichtungserklärung gemäß Datenschutzgesetz (DSG)</w:t>
      </w:r>
    </w:p>
    <w:p w14:paraId="0D664BB0" w14:textId="77777777" w:rsidR="00A00526" w:rsidRPr="005C1A1A" w:rsidRDefault="00A00526" w:rsidP="00A00526">
      <w:pPr>
        <w:spacing w:after="120"/>
        <w:rPr>
          <w:rFonts w:ascii="Century Gothic" w:hAnsi="Century Gothic" w:cs="Arial"/>
          <w:b/>
          <w:bCs/>
          <w:sz w:val="20"/>
          <w:szCs w:val="20"/>
        </w:rPr>
      </w:pPr>
    </w:p>
    <w:p w14:paraId="28725FE7" w14:textId="77777777" w:rsidR="00A00526" w:rsidRPr="005C1A1A" w:rsidRDefault="00A00526" w:rsidP="00A00526">
      <w:pPr>
        <w:spacing w:line="360" w:lineRule="atLeast"/>
        <w:jc w:val="both"/>
        <w:rPr>
          <w:rFonts w:ascii="Century Gothic" w:hAnsi="Century Gothic"/>
          <w:b/>
        </w:rPr>
      </w:pPr>
      <w:r w:rsidRPr="005C1A1A">
        <w:rPr>
          <w:rFonts w:ascii="Century Gothic" w:hAnsi="Century Gothic"/>
          <w:b/>
        </w:rPr>
        <w:t>1. Verpflichtung:</w:t>
      </w:r>
    </w:p>
    <w:p w14:paraId="46D5E6E7" w14:textId="77777777" w:rsidR="00A00526" w:rsidRPr="005C1A1A" w:rsidRDefault="00A00526" w:rsidP="009F514C">
      <w:pPr>
        <w:tabs>
          <w:tab w:val="left" w:leader="dot" w:pos="6521"/>
          <w:tab w:val="left" w:leader="dot" w:pos="9781"/>
        </w:tabs>
        <w:spacing w:line="312" w:lineRule="auto"/>
        <w:rPr>
          <w:rFonts w:ascii="Century Gothic" w:hAnsi="Century Gothic"/>
        </w:rPr>
      </w:pPr>
      <w:r w:rsidRPr="005C1A1A">
        <w:rPr>
          <w:rFonts w:ascii="Century Gothic" w:hAnsi="Century Gothic"/>
        </w:rPr>
        <w:t>Ich,</w:t>
      </w:r>
      <w:r w:rsidR="00334F06" w:rsidRPr="005C1A1A">
        <w:rPr>
          <w:rFonts w:ascii="Century Gothic" w:hAnsi="Century Gothic"/>
        </w:rPr>
        <w:t xml:space="preserve"> </w:t>
      </w:r>
      <w:r w:rsidR="00334F06" w:rsidRPr="005C1A1A">
        <w:rPr>
          <w:rFonts w:ascii="Century Gothic" w:hAnsi="Century Gothic"/>
        </w:rPr>
        <w:tab/>
      </w:r>
      <w:r w:rsidRPr="005C1A1A">
        <w:rPr>
          <w:rFonts w:ascii="Century Gothic" w:hAnsi="Century Gothic"/>
        </w:rPr>
        <w:t xml:space="preserve">, geboren am, </w:t>
      </w:r>
      <w:r w:rsidR="00334F06" w:rsidRPr="005C1A1A">
        <w:rPr>
          <w:rFonts w:ascii="Century Gothic" w:hAnsi="Century Gothic"/>
        </w:rPr>
        <w:tab/>
      </w:r>
      <w:r w:rsidRPr="005C1A1A">
        <w:rPr>
          <w:rFonts w:ascii="Century Gothic" w:hAnsi="Century Gothic"/>
        </w:rPr>
        <w:t>,</w:t>
      </w:r>
      <w:r w:rsidR="009F514C">
        <w:rPr>
          <w:rFonts w:ascii="Century Gothic" w:hAnsi="Century Gothic"/>
        </w:rPr>
        <w:br/>
      </w:r>
      <w:r w:rsidRPr="005C1A1A">
        <w:rPr>
          <w:rFonts w:ascii="Century Gothic" w:hAnsi="Century Gothic"/>
        </w:rPr>
        <w:t>wohnhaft in</w:t>
      </w:r>
      <w:r w:rsidR="00334F06" w:rsidRPr="005C1A1A">
        <w:rPr>
          <w:rFonts w:ascii="Century Gothic" w:hAnsi="Century Gothic"/>
        </w:rPr>
        <w:t xml:space="preserve"> </w:t>
      </w:r>
      <w:r w:rsidR="00334F06" w:rsidRPr="005C1A1A">
        <w:rPr>
          <w:rFonts w:ascii="Century Gothic" w:hAnsi="Century Gothic"/>
        </w:rPr>
        <w:tab/>
      </w:r>
      <w:r w:rsidRPr="005C1A1A">
        <w:rPr>
          <w:rFonts w:ascii="Century Gothic" w:hAnsi="Century Gothic"/>
          <w:i/>
        </w:rPr>
        <w:t>,</w:t>
      </w:r>
      <w:r w:rsidRPr="005C1A1A">
        <w:rPr>
          <w:rFonts w:ascii="Century Gothic" w:hAnsi="Century Gothic"/>
        </w:rPr>
        <w:t xml:space="preserve"> verpflichte mich:</w:t>
      </w:r>
    </w:p>
    <w:p w14:paraId="1707F86C" w14:textId="77777777" w:rsidR="00A00526" w:rsidRPr="005C1A1A" w:rsidRDefault="00A00526" w:rsidP="00490599">
      <w:pPr>
        <w:overflowPunct w:val="0"/>
        <w:autoSpaceDE w:val="0"/>
        <w:autoSpaceDN w:val="0"/>
        <w:adjustRightInd w:val="0"/>
        <w:spacing w:line="288" w:lineRule="auto"/>
        <w:jc w:val="both"/>
        <w:textAlignment w:val="baseline"/>
        <w:rPr>
          <w:rFonts w:ascii="Century Gothic" w:hAnsi="Century Gothic"/>
        </w:rPr>
      </w:pPr>
      <w:r w:rsidRPr="005C1A1A">
        <w:rPr>
          <w:rFonts w:ascii="Century Gothic" w:hAnsi="Century Gothic"/>
        </w:rPr>
        <w:t>das Datengeheimnis (§ 6 DSG) gemäß den Bestimmungen des Datenschutz</w:t>
      </w:r>
      <w:r w:rsidR="005C1A1A">
        <w:rPr>
          <w:rFonts w:ascii="Century Gothic" w:hAnsi="Century Gothic"/>
        </w:rPr>
        <w:softHyphen/>
      </w:r>
      <w:r w:rsidRPr="005C1A1A">
        <w:rPr>
          <w:rFonts w:ascii="Century Gothic" w:hAnsi="Century Gothic"/>
        </w:rPr>
        <w:t xml:space="preserve">gesetzes </w:t>
      </w:r>
      <w:r w:rsidR="00053233" w:rsidRPr="005C1A1A">
        <w:rPr>
          <w:rFonts w:ascii="Century Gothic" w:hAnsi="Century Gothic"/>
        </w:rPr>
        <w:t>in der Fassung des Datenschutzgesetz – Anpassungsgesetzes, BGBl. I Nr. 120/2017</w:t>
      </w:r>
      <w:r w:rsidRPr="005C1A1A">
        <w:rPr>
          <w:rFonts w:ascii="Century Gothic" w:hAnsi="Century Gothic"/>
        </w:rPr>
        <w:t xml:space="preserve">, zu wahren und zur Erfüllung des Datenschutzes und der Datensicherheit, unabhängig davon, ob es sich um gesetzliche Verpflichtungen oder um betriebliche </w:t>
      </w:r>
      <w:r w:rsidR="00334F06" w:rsidRPr="005C1A1A">
        <w:rPr>
          <w:rFonts w:ascii="Century Gothic" w:hAnsi="Century Gothic"/>
        </w:rPr>
        <w:t xml:space="preserve">oder vereinsinterne </w:t>
      </w:r>
      <w:r w:rsidR="00053233" w:rsidRPr="005C1A1A">
        <w:rPr>
          <w:rFonts w:ascii="Century Gothic" w:hAnsi="Century Gothic"/>
        </w:rPr>
        <w:t>Anordnungen handelt, beizutragen.</w:t>
      </w:r>
    </w:p>
    <w:p w14:paraId="27D20C2C" w14:textId="77777777" w:rsidR="00D936A7" w:rsidRPr="005C1A1A" w:rsidRDefault="00D936A7" w:rsidP="00115472">
      <w:pPr>
        <w:overflowPunct w:val="0"/>
        <w:autoSpaceDE w:val="0"/>
        <w:autoSpaceDN w:val="0"/>
        <w:adjustRightInd w:val="0"/>
        <w:jc w:val="both"/>
        <w:textAlignment w:val="baseline"/>
        <w:rPr>
          <w:rFonts w:ascii="Century Gothic" w:hAnsi="Century Gothic"/>
          <w:sz w:val="16"/>
          <w:szCs w:val="16"/>
        </w:rPr>
      </w:pPr>
    </w:p>
    <w:p w14:paraId="4029ABA8" w14:textId="77777777" w:rsidR="00A00526" w:rsidRPr="005C1A1A" w:rsidRDefault="00A00526" w:rsidP="00A00526">
      <w:pPr>
        <w:numPr>
          <w:ilvl w:val="12"/>
          <w:numId w:val="0"/>
        </w:numPr>
        <w:spacing w:line="360" w:lineRule="atLeast"/>
        <w:jc w:val="both"/>
        <w:rPr>
          <w:rFonts w:ascii="Century Gothic" w:hAnsi="Century Gothic"/>
          <w:b/>
          <w:sz w:val="22"/>
          <w:szCs w:val="22"/>
        </w:rPr>
      </w:pPr>
      <w:r w:rsidRPr="005C1A1A">
        <w:rPr>
          <w:rFonts w:ascii="Century Gothic" w:hAnsi="Century Gothic"/>
          <w:b/>
          <w:sz w:val="22"/>
          <w:szCs w:val="22"/>
        </w:rPr>
        <w:t>2. Erläuterungen:</w:t>
      </w:r>
    </w:p>
    <w:p w14:paraId="19AB244D" w14:textId="77777777" w:rsidR="00A00526" w:rsidRPr="005C1A1A" w:rsidRDefault="00A00526" w:rsidP="00A00526">
      <w:pPr>
        <w:numPr>
          <w:ilvl w:val="12"/>
          <w:numId w:val="0"/>
        </w:numPr>
        <w:spacing w:line="360" w:lineRule="atLeast"/>
        <w:jc w:val="both"/>
        <w:rPr>
          <w:rFonts w:ascii="Century Gothic" w:hAnsi="Century Gothic"/>
          <w:sz w:val="22"/>
          <w:szCs w:val="22"/>
          <w:u w:val="single"/>
        </w:rPr>
      </w:pPr>
      <w:r w:rsidRPr="005C1A1A">
        <w:rPr>
          <w:rFonts w:ascii="Century Gothic" w:hAnsi="Century Gothic"/>
          <w:sz w:val="22"/>
          <w:szCs w:val="22"/>
          <w:u w:val="single"/>
        </w:rPr>
        <w:t>Mir ist bekannt,</w:t>
      </w:r>
    </w:p>
    <w:p w14:paraId="559C5066" w14:textId="77777777" w:rsidR="00A00526" w:rsidRPr="005C1A1A" w:rsidRDefault="00A00526" w:rsidP="00490599">
      <w:pPr>
        <w:pStyle w:val="Listenabsatz"/>
        <w:numPr>
          <w:ilvl w:val="0"/>
          <w:numId w:val="3"/>
        </w:numPr>
        <w:overflowPunct w:val="0"/>
        <w:autoSpaceDE w:val="0"/>
        <w:autoSpaceDN w:val="0"/>
        <w:adjustRightInd w:val="0"/>
        <w:spacing w:line="288" w:lineRule="auto"/>
        <w:ind w:left="284" w:hanging="284"/>
        <w:jc w:val="both"/>
        <w:textAlignment w:val="baseline"/>
        <w:rPr>
          <w:rFonts w:ascii="Century Gothic" w:hAnsi="Century Gothic"/>
          <w:sz w:val="22"/>
          <w:szCs w:val="22"/>
        </w:rPr>
      </w:pPr>
      <w:r w:rsidRPr="005C1A1A">
        <w:rPr>
          <w:rFonts w:ascii="Century Gothic" w:hAnsi="Century Gothic"/>
          <w:sz w:val="22"/>
          <w:szCs w:val="22"/>
        </w:rPr>
        <w:t>dass es insbesondere untersagt ist, unbefugten Personen oder unzuständigen Stellen Daten mitzuteilen oder ihnen die Kenntnisnahme zu ermöglichen sowie Daten zu einem anderen als dem zum jeweiligen rechtmäßigen Aufgabenvollzug gehörenden Zweck zu verwenden,</w:t>
      </w:r>
    </w:p>
    <w:p w14:paraId="68C53C42" w14:textId="77777777" w:rsidR="00A00526" w:rsidRPr="005C1A1A" w:rsidRDefault="00A00526" w:rsidP="00490599">
      <w:pPr>
        <w:pStyle w:val="Listenabsatz"/>
        <w:numPr>
          <w:ilvl w:val="0"/>
          <w:numId w:val="3"/>
        </w:numPr>
        <w:overflowPunct w:val="0"/>
        <w:autoSpaceDE w:val="0"/>
        <w:autoSpaceDN w:val="0"/>
        <w:adjustRightInd w:val="0"/>
        <w:spacing w:line="288" w:lineRule="auto"/>
        <w:ind w:left="284" w:hanging="284"/>
        <w:jc w:val="both"/>
        <w:textAlignment w:val="baseline"/>
        <w:rPr>
          <w:rFonts w:ascii="Century Gothic" w:hAnsi="Century Gothic"/>
          <w:sz w:val="22"/>
          <w:szCs w:val="22"/>
        </w:rPr>
      </w:pPr>
      <w:r w:rsidRPr="005C1A1A">
        <w:rPr>
          <w:rFonts w:ascii="Century Gothic" w:hAnsi="Century Gothic"/>
          <w:sz w:val="22"/>
          <w:szCs w:val="22"/>
        </w:rPr>
        <w:t>dass automationsunterstützt verarbeitete Daten, die mir auf Grund meiner berufs</w:t>
      </w:r>
      <w:r w:rsidR="005C1A1A">
        <w:rPr>
          <w:rFonts w:ascii="Century Gothic" w:hAnsi="Century Gothic"/>
          <w:sz w:val="22"/>
          <w:szCs w:val="22"/>
        </w:rPr>
        <w:softHyphen/>
      </w:r>
      <w:r w:rsidRPr="005C1A1A">
        <w:rPr>
          <w:rFonts w:ascii="Century Gothic" w:hAnsi="Century Gothic"/>
          <w:sz w:val="22"/>
          <w:szCs w:val="22"/>
        </w:rPr>
        <w:t xml:space="preserve">mäßigen Beschäftigung oder meiner Tätigkeit als Funktionär anvertraut wurden oder zugänglich geworden sind, unbeschadet sonstiger Verschwiegenheitspflichten, nur auf Grund einer ausdrücklichen mündlichen oder schriftlichen Anordnung meines Arbeitgebers oder dessen Beauftragten </w:t>
      </w:r>
      <w:r w:rsidR="00334F06" w:rsidRPr="005C1A1A">
        <w:rPr>
          <w:rFonts w:ascii="Century Gothic" w:hAnsi="Century Gothic"/>
          <w:sz w:val="22"/>
          <w:szCs w:val="22"/>
        </w:rPr>
        <w:t xml:space="preserve">bzw. vereinsinterner Bevollmächtigter </w:t>
      </w:r>
      <w:r w:rsidRPr="005C1A1A">
        <w:rPr>
          <w:rFonts w:ascii="Century Gothic" w:hAnsi="Century Gothic"/>
          <w:sz w:val="22"/>
          <w:szCs w:val="22"/>
        </w:rPr>
        <w:t>übermittelt werden dürfen,</w:t>
      </w:r>
    </w:p>
    <w:p w14:paraId="71A59CB2" w14:textId="77777777" w:rsidR="00A00526" w:rsidRPr="005C1A1A" w:rsidRDefault="00A00526" w:rsidP="00490599">
      <w:pPr>
        <w:pStyle w:val="Listenabsatz"/>
        <w:numPr>
          <w:ilvl w:val="0"/>
          <w:numId w:val="3"/>
        </w:numPr>
        <w:overflowPunct w:val="0"/>
        <w:autoSpaceDE w:val="0"/>
        <w:autoSpaceDN w:val="0"/>
        <w:adjustRightInd w:val="0"/>
        <w:spacing w:line="288" w:lineRule="auto"/>
        <w:ind w:left="284" w:hanging="284"/>
        <w:jc w:val="both"/>
        <w:textAlignment w:val="baseline"/>
        <w:rPr>
          <w:rFonts w:ascii="Century Gothic" w:hAnsi="Century Gothic"/>
          <w:sz w:val="22"/>
          <w:szCs w:val="22"/>
        </w:rPr>
      </w:pPr>
      <w:r w:rsidRPr="005C1A1A">
        <w:rPr>
          <w:rFonts w:ascii="Century Gothic" w:hAnsi="Century Gothic"/>
          <w:sz w:val="22"/>
          <w:szCs w:val="22"/>
        </w:rPr>
        <w:t>dass diese Verpflichtung auch nach Beendigung meiner Tätigkeit und nach dem Ausscheiden aus dem Unternehmen</w:t>
      </w:r>
      <w:r w:rsidR="00334F06" w:rsidRPr="005C1A1A">
        <w:rPr>
          <w:rFonts w:ascii="Century Gothic" w:hAnsi="Century Gothic"/>
          <w:sz w:val="22"/>
          <w:szCs w:val="22"/>
        </w:rPr>
        <w:t xml:space="preserve"> bzw. Verein</w:t>
      </w:r>
      <w:r w:rsidRPr="005C1A1A">
        <w:rPr>
          <w:rFonts w:ascii="Century Gothic" w:hAnsi="Century Gothic"/>
          <w:sz w:val="22"/>
          <w:szCs w:val="22"/>
        </w:rPr>
        <w:t xml:space="preserve"> fortbesteht,</w:t>
      </w:r>
    </w:p>
    <w:p w14:paraId="79794801" w14:textId="77777777" w:rsidR="00A00526" w:rsidRPr="005C1A1A" w:rsidRDefault="00A00526" w:rsidP="00490599">
      <w:pPr>
        <w:pStyle w:val="Listenabsatz"/>
        <w:numPr>
          <w:ilvl w:val="0"/>
          <w:numId w:val="3"/>
        </w:numPr>
        <w:overflowPunct w:val="0"/>
        <w:autoSpaceDE w:val="0"/>
        <w:autoSpaceDN w:val="0"/>
        <w:adjustRightInd w:val="0"/>
        <w:spacing w:line="288" w:lineRule="auto"/>
        <w:ind w:left="284" w:hanging="284"/>
        <w:jc w:val="both"/>
        <w:textAlignment w:val="baseline"/>
        <w:rPr>
          <w:rFonts w:ascii="Century Gothic" w:hAnsi="Century Gothic"/>
          <w:sz w:val="22"/>
          <w:szCs w:val="22"/>
        </w:rPr>
      </w:pPr>
      <w:r w:rsidRPr="005C1A1A">
        <w:rPr>
          <w:rFonts w:ascii="Century Gothic" w:hAnsi="Century Gothic"/>
          <w:sz w:val="22"/>
          <w:szCs w:val="22"/>
        </w:rPr>
        <w:t>dass weiterreichende andere Bestimmungen über die Geheimhaltungspflichten von der oben angeführten Verpflichtung unberührt bleiben, sofern sie mit dem Daten</w:t>
      </w:r>
      <w:r w:rsidR="005C1A1A">
        <w:rPr>
          <w:rFonts w:ascii="Century Gothic" w:hAnsi="Century Gothic"/>
          <w:sz w:val="22"/>
          <w:szCs w:val="22"/>
        </w:rPr>
        <w:softHyphen/>
      </w:r>
      <w:r w:rsidRPr="005C1A1A">
        <w:rPr>
          <w:rFonts w:ascii="Century Gothic" w:hAnsi="Century Gothic"/>
          <w:sz w:val="22"/>
          <w:szCs w:val="22"/>
        </w:rPr>
        <w:t xml:space="preserve">schutzgesetz nicht im Widerspruch stehen </w:t>
      </w:r>
    </w:p>
    <w:p w14:paraId="3CCC4B92" w14:textId="77777777" w:rsidR="00A00526" w:rsidRPr="005C1A1A" w:rsidRDefault="00A00526" w:rsidP="005C1A1A">
      <w:pPr>
        <w:pStyle w:val="Listenabsatz"/>
        <w:numPr>
          <w:ilvl w:val="0"/>
          <w:numId w:val="3"/>
        </w:numPr>
        <w:overflowPunct w:val="0"/>
        <w:autoSpaceDE w:val="0"/>
        <w:autoSpaceDN w:val="0"/>
        <w:adjustRightInd w:val="0"/>
        <w:spacing w:line="288" w:lineRule="auto"/>
        <w:ind w:left="284" w:hanging="284"/>
        <w:jc w:val="both"/>
        <w:textAlignment w:val="baseline"/>
        <w:rPr>
          <w:rFonts w:ascii="Century Gothic" w:hAnsi="Century Gothic"/>
          <w:b/>
          <w:sz w:val="22"/>
          <w:szCs w:val="22"/>
        </w:rPr>
      </w:pPr>
      <w:r w:rsidRPr="005C1A1A">
        <w:rPr>
          <w:rFonts w:ascii="Century Gothic" w:hAnsi="Century Gothic"/>
          <w:sz w:val="22"/>
          <w:szCs w:val="22"/>
        </w:rPr>
        <w:t>dass Verstöße gegen die oben angeführte Verpflichtung mit Freiheits</w:t>
      </w:r>
      <w:r w:rsidR="005C1A1A" w:rsidRPr="005C1A1A">
        <w:rPr>
          <w:rFonts w:ascii="Century Gothic" w:hAnsi="Century Gothic"/>
          <w:sz w:val="22"/>
          <w:szCs w:val="22"/>
        </w:rPr>
        <w:t>- bzw. Geld</w:t>
      </w:r>
      <w:r w:rsidR="005C1A1A">
        <w:rPr>
          <w:rFonts w:ascii="Century Gothic" w:hAnsi="Century Gothic"/>
          <w:sz w:val="22"/>
          <w:szCs w:val="22"/>
        </w:rPr>
        <w:softHyphen/>
      </w:r>
      <w:r w:rsidRPr="005C1A1A">
        <w:rPr>
          <w:rFonts w:ascii="Century Gothic" w:hAnsi="Century Gothic"/>
          <w:sz w:val="22"/>
          <w:szCs w:val="22"/>
        </w:rPr>
        <w:t>strafen geahndet werden können, schadenersatzpflichtig machen und auch arbeits</w:t>
      </w:r>
      <w:r w:rsidR="005C1A1A">
        <w:rPr>
          <w:rFonts w:ascii="Century Gothic" w:hAnsi="Century Gothic"/>
          <w:sz w:val="22"/>
          <w:szCs w:val="22"/>
        </w:rPr>
        <w:softHyphen/>
      </w:r>
      <w:r w:rsidRPr="005C1A1A">
        <w:rPr>
          <w:rFonts w:ascii="Century Gothic" w:hAnsi="Century Gothic"/>
          <w:sz w:val="22"/>
          <w:szCs w:val="22"/>
        </w:rPr>
        <w:t>rechtliche Folgen haben können.</w:t>
      </w:r>
    </w:p>
    <w:p w14:paraId="047BE799" w14:textId="77777777" w:rsidR="005C1A1A" w:rsidRPr="005C1A1A" w:rsidRDefault="005C1A1A" w:rsidP="005C1A1A">
      <w:pPr>
        <w:overflowPunct w:val="0"/>
        <w:autoSpaceDE w:val="0"/>
        <w:autoSpaceDN w:val="0"/>
        <w:adjustRightInd w:val="0"/>
        <w:jc w:val="both"/>
        <w:textAlignment w:val="baseline"/>
        <w:rPr>
          <w:rFonts w:ascii="Century Gothic" w:hAnsi="Century Gothic"/>
          <w:sz w:val="16"/>
          <w:szCs w:val="16"/>
        </w:rPr>
      </w:pPr>
    </w:p>
    <w:p w14:paraId="20709DF8" w14:textId="77777777" w:rsidR="00A00526" w:rsidRPr="005C1A1A" w:rsidRDefault="00D936A7" w:rsidP="00A00526">
      <w:pPr>
        <w:numPr>
          <w:ilvl w:val="12"/>
          <w:numId w:val="0"/>
        </w:numPr>
        <w:spacing w:line="360" w:lineRule="atLeast"/>
        <w:jc w:val="both"/>
        <w:rPr>
          <w:rFonts w:ascii="Century Gothic" w:hAnsi="Century Gothic"/>
          <w:b/>
          <w:sz w:val="22"/>
          <w:szCs w:val="22"/>
        </w:rPr>
      </w:pPr>
      <w:r w:rsidRPr="005C1A1A">
        <w:rPr>
          <w:rFonts w:ascii="Century Gothic" w:hAnsi="Century Gothic"/>
          <w:b/>
          <w:sz w:val="22"/>
          <w:szCs w:val="22"/>
        </w:rPr>
        <w:t xml:space="preserve">3. </w:t>
      </w:r>
      <w:r w:rsidR="00A00526" w:rsidRPr="005C1A1A">
        <w:rPr>
          <w:rFonts w:ascii="Century Gothic" w:hAnsi="Century Gothic"/>
          <w:b/>
          <w:sz w:val="22"/>
          <w:szCs w:val="22"/>
        </w:rPr>
        <w:t>Unterlagen:</w:t>
      </w:r>
    </w:p>
    <w:p w14:paraId="1B68EE37" w14:textId="77777777" w:rsidR="00D936A7" w:rsidRPr="005C1A1A" w:rsidRDefault="00D936A7" w:rsidP="00A00526">
      <w:pPr>
        <w:numPr>
          <w:ilvl w:val="12"/>
          <w:numId w:val="0"/>
        </w:numPr>
        <w:spacing w:line="360" w:lineRule="atLeast"/>
        <w:jc w:val="both"/>
        <w:rPr>
          <w:rFonts w:ascii="Century Gothic" w:hAnsi="Century Gothic"/>
          <w:bCs/>
          <w:sz w:val="22"/>
          <w:szCs w:val="22"/>
        </w:rPr>
      </w:pPr>
      <w:r w:rsidRPr="005C1A1A">
        <w:rPr>
          <w:rFonts w:ascii="Century Gothic" w:hAnsi="Century Gothic"/>
          <w:bCs/>
          <w:sz w:val="22"/>
          <w:szCs w:val="22"/>
        </w:rPr>
        <w:t>Es wird auf folgende gesetzlichen Unterlagen verwiesen</w:t>
      </w:r>
      <w:r w:rsidR="005C1A1A">
        <w:rPr>
          <w:rFonts w:ascii="Century Gothic" w:hAnsi="Century Gothic"/>
          <w:bCs/>
          <w:sz w:val="22"/>
          <w:szCs w:val="22"/>
        </w:rPr>
        <w:t xml:space="preserve"> </w:t>
      </w:r>
      <w:r w:rsidR="005C1A1A" w:rsidRPr="005C1A1A">
        <w:rPr>
          <w:rFonts w:ascii="Century Gothic" w:hAnsi="Century Gothic"/>
          <w:bCs/>
          <w:sz w:val="22"/>
          <w:szCs w:val="22"/>
        </w:rPr>
        <w:t>(siehe auch Folgeseite)</w:t>
      </w:r>
      <w:r w:rsidRPr="005C1A1A">
        <w:rPr>
          <w:rFonts w:ascii="Century Gothic" w:hAnsi="Century Gothic"/>
          <w:bCs/>
          <w:sz w:val="22"/>
          <w:szCs w:val="22"/>
        </w:rPr>
        <w:t>:</w:t>
      </w:r>
    </w:p>
    <w:p w14:paraId="23877386" w14:textId="77777777" w:rsidR="00D936A7" w:rsidRPr="005C1A1A" w:rsidRDefault="00D936A7" w:rsidP="00D936A7">
      <w:pPr>
        <w:numPr>
          <w:ilvl w:val="12"/>
          <w:numId w:val="0"/>
        </w:numPr>
        <w:spacing w:before="120" w:line="360" w:lineRule="atLeast"/>
        <w:jc w:val="both"/>
        <w:rPr>
          <w:rFonts w:ascii="Century Gothic" w:hAnsi="Century Gothic"/>
          <w:bCs/>
          <w:sz w:val="22"/>
          <w:szCs w:val="22"/>
        </w:rPr>
      </w:pPr>
      <w:r w:rsidRPr="005C1A1A">
        <w:rPr>
          <w:rFonts w:ascii="Century Gothic" w:hAnsi="Century Gothic"/>
          <w:bCs/>
          <w:sz w:val="22"/>
          <w:szCs w:val="22"/>
        </w:rPr>
        <w:t xml:space="preserve">EU Datenschutz-Grundverordnung vom 27. April 2016: </w:t>
      </w:r>
    </w:p>
    <w:p w14:paraId="1E67905B" w14:textId="77777777" w:rsidR="00D936A7" w:rsidRPr="005C1A1A" w:rsidRDefault="00A65415" w:rsidP="00D936A7">
      <w:pPr>
        <w:spacing w:after="120"/>
        <w:rPr>
          <w:rFonts w:ascii="Century Gothic" w:hAnsi="Century Gothic"/>
          <w:sz w:val="21"/>
          <w:szCs w:val="21"/>
        </w:rPr>
      </w:pPr>
      <w:hyperlink r:id="rId8" w:history="1">
        <w:r w:rsidR="00D936A7" w:rsidRPr="005C1A1A">
          <w:rPr>
            <w:rStyle w:val="Hyperlink"/>
            <w:rFonts w:ascii="Century Gothic" w:hAnsi="Century Gothic"/>
            <w:sz w:val="21"/>
            <w:szCs w:val="21"/>
          </w:rPr>
          <w:t>http://eur-lex.europa.eu/legal-content/DE/TXT/PDF/?uri=CELEX:32016R0679&amp;from=DE</w:t>
        </w:r>
      </w:hyperlink>
      <w:r w:rsidR="00D936A7" w:rsidRPr="005C1A1A">
        <w:rPr>
          <w:rFonts w:ascii="Century Gothic" w:hAnsi="Century Gothic"/>
          <w:sz w:val="21"/>
          <w:szCs w:val="21"/>
        </w:rPr>
        <w:t xml:space="preserve"> </w:t>
      </w:r>
    </w:p>
    <w:p w14:paraId="0619C123" w14:textId="77777777" w:rsidR="00D936A7" w:rsidRPr="005C1A1A" w:rsidRDefault="00D936A7" w:rsidP="00D936A7">
      <w:pPr>
        <w:numPr>
          <w:ilvl w:val="12"/>
          <w:numId w:val="0"/>
        </w:numPr>
        <w:spacing w:before="120" w:line="360" w:lineRule="atLeast"/>
        <w:jc w:val="both"/>
        <w:rPr>
          <w:rFonts w:ascii="Century Gothic" w:hAnsi="Century Gothic"/>
          <w:bCs/>
          <w:sz w:val="22"/>
          <w:szCs w:val="22"/>
        </w:rPr>
      </w:pPr>
      <w:r w:rsidRPr="005C1A1A">
        <w:rPr>
          <w:rFonts w:ascii="Century Gothic" w:hAnsi="Century Gothic"/>
          <w:bCs/>
          <w:sz w:val="22"/>
          <w:szCs w:val="22"/>
        </w:rPr>
        <w:t xml:space="preserve">Datenschutzanpassungsgesetz vom 31. Juli 2017: </w:t>
      </w:r>
    </w:p>
    <w:p w14:paraId="25131988" w14:textId="77777777" w:rsidR="00D936A7" w:rsidRPr="005C1A1A" w:rsidRDefault="00A65415" w:rsidP="00115472">
      <w:pPr>
        <w:numPr>
          <w:ilvl w:val="12"/>
          <w:numId w:val="0"/>
        </w:numPr>
        <w:jc w:val="both"/>
        <w:rPr>
          <w:rFonts w:ascii="Century Gothic" w:hAnsi="Century Gothic"/>
          <w:sz w:val="21"/>
          <w:szCs w:val="21"/>
        </w:rPr>
      </w:pPr>
      <w:hyperlink r:id="rId9" w:history="1">
        <w:r w:rsidR="00D936A7" w:rsidRPr="005C1A1A">
          <w:rPr>
            <w:rStyle w:val="Hyperlink"/>
            <w:rFonts w:ascii="Century Gothic" w:hAnsi="Century Gothic"/>
            <w:sz w:val="21"/>
            <w:szCs w:val="21"/>
          </w:rPr>
          <w:t>https://www.ris.bka.gv.at/Dokumente/BgblAuth/BGBLA_2017_I_120/BGBLA_2017_I_120.pdf</w:t>
        </w:r>
      </w:hyperlink>
      <w:r w:rsidR="00D936A7" w:rsidRPr="005C1A1A">
        <w:rPr>
          <w:rFonts w:ascii="Century Gothic" w:hAnsi="Century Gothic"/>
          <w:sz w:val="21"/>
          <w:szCs w:val="21"/>
        </w:rPr>
        <w:t xml:space="preserve"> </w:t>
      </w:r>
    </w:p>
    <w:p w14:paraId="68C74AA0" w14:textId="77777777" w:rsidR="00490599" w:rsidRPr="005C1A1A" w:rsidRDefault="00490599" w:rsidP="005C1A1A">
      <w:pPr>
        <w:numPr>
          <w:ilvl w:val="12"/>
          <w:numId w:val="0"/>
        </w:numPr>
        <w:spacing w:line="360" w:lineRule="atLeast"/>
        <w:jc w:val="both"/>
        <w:rPr>
          <w:rFonts w:ascii="Century Gothic" w:hAnsi="Century Gothic"/>
          <w:bCs/>
          <w:sz w:val="22"/>
          <w:szCs w:val="22"/>
        </w:rPr>
      </w:pPr>
    </w:p>
    <w:p w14:paraId="4086BC42" w14:textId="77777777" w:rsidR="00490599" w:rsidRPr="005C1A1A" w:rsidRDefault="00490599">
      <w:pPr>
        <w:rPr>
          <w:rFonts w:ascii="Century Gothic" w:hAnsi="Century Gothic"/>
          <w:b/>
        </w:rPr>
      </w:pPr>
    </w:p>
    <w:p w14:paraId="0BF10B8B" w14:textId="77777777" w:rsidR="00490599" w:rsidRPr="005C1A1A" w:rsidRDefault="00490599">
      <w:pPr>
        <w:rPr>
          <w:rFonts w:ascii="Century Gothic" w:hAnsi="Century Gothic"/>
          <w:b/>
        </w:rPr>
      </w:pPr>
    </w:p>
    <w:p w14:paraId="395485A0" w14:textId="77777777" w:rsidR="00490599" w:rsidRPr="005C1A1A" w:rsidRDefault="00490599">
      <w:pPr>
        <w:rPr>
          <w:rFonts w:ascii="Century Gothic" w:hAnsi="Century Gothic"/>
          <w:b/>
        </w:rPr>
      </w:pPr>
    </w:p>
    <w:tbl>
      <w:tblPr>
        <w:tblStyle w:val="Tabellenraster"/>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51"/>
        <w:gridCol w:w="3576"/>
      </w:tblGrid>
      <w:tr w:rsidR="00490599" w:rsidRPr="005C1A1A" w14:paraId="2CF86A37" w14:textId="77777777" w:rsidTr="00334F06">
        <w:tc>
          <w:tcPr>
            <w:tcW w:w="2835" w:type="dxa"/>
            <w:tcBorders>
              <w:bottom w:val="dashSmallGap" w:sz="4" w:space="0" w:color="auto"/>
            </w:tcBorders>
          </w:tcPr>
          <w:p w14:paraId="7A971274" w14:textId="77777777" w:rsidR="00490599" w:rsidRPr="005C1A1A" w:rsidRDefault="00490599" w:rsidP="00334F06">
            <w:pPr>
              <w:jc w:val="center"/>
              <w:rPr>
                <w:rFonts w:ascii="Century Gothic" w:hAnsi="Century Gothic"/>
                <w:bCs/>
              </w:rPr>
            </w:pPr>
          </w:p>
        </w:tc>
        <w:tc>
          <w:tcPr>
            <w:tcW w:w="851" w:type="dxa"/>
          </w:tcPr>
          <w:p w14:paraId="10ABE959" w14:textId="77777777" w:rsidR="00490599" w:rsidRPr="005C1A1A" w:rsidRDefault="00490599" w:rsidP="00334F06">
            <w:pPr>
              <w:jc w:val="center"/>
              <w:rPr>
                <w:rFonts w:ascii="Century Gothic" w:hAnsi="Century Gothic"/>
                <w:bCs/>
              </w:rPr>
            </w:pPr>
          </w:p>
        </w:tc>
        <w:tc>
          <w:tcPr>
            <w:tcW w:w="3576" w:type="dxa"/>
            <w:tcBorders>
              <w:bottom w:val="dashSmallGap" w:sz="4" w:space="0" w:color="auto"/>
            </w:tcBorders>
          </w:tcPr>
          <w:p w14:paraId="2E23C2E4" w14:textId="77777777" w:rsidR="00490599" w:rsidRPr="005C1A1A" w:rsidRDefault="00490599" w:rsidP="00334F06">
            <w:pPr>
              <w:jc w:val="center"/>
              <w:rPr>
                <w:rFonts w:ascii="Century Gothic" w:hAnsi="Century Gothic"/>
                <w:bCs/>
              </w:rPr>
            </w:pPr>
          </w:p>
        </w:tc>
      </w:tr>
      <w:tr w:rsidR="00490599" w:rsidRPr="005C1A1A" w14:paraId="7384D991" w14:textId="77777777" w:rsidTr="00334F06">
        <w:tc>
          <w:tcPr>
            <w:tcW w:w="2835" w:type="dxa"/>
            <w:tcBorders>
              <w:top w:val="dashSmallGap" w:sz="4" w:space="0" w:color="auto"/>
            </w:tcBorders>
          </w:tcPr>
          <w:p w14:paraId="510F7B19" w14:textId="77777777" w:rsidR="00490599" w:rsidRPr="005C1A1A" w:rsidRDefault="00490599" w:rsidP="00334F06">
            <w:pPr>
              <w:jc w:val="center"/>
              <w:rPr>
                <w:rFonts w:ascii="Century Gothic" w:hAnsi="Century Gothic"/>
                <w:bCs/>
              </w:rPr>
            </w:pPr>
            <w:r w:rsidRPr="005C1A1A">
              <w:rPr>
                <w:rFonts w:ascii="Century Gothic" w:hAnsi="Century Gothic"/>
                <w:bCs/>
              </w:rPr>
              <w:t>Ort, Datum</w:t>
            </w:r>
          </w:p>
        </w:tc>
        <w:tc>
          <w:tcPr>
            <w:tcW w:w="851" w:type="dxa"/>
          </w:tcPr>
          <w:p w14:paraId="59F253FC" w14:textId="77777777" w:rsidR="00490599" w:rsidRPr="005C1A1A" w:rsidRDefault="00490599" w:rsidP="00334F06">
            <w:pPr>
              <w:jc w:val="center"/>
              <w:rPr>
                <w:rFonts w:ascii="Century Gothic" w:hAnsi="Century Gothic"/>
                <w:bCs/>
              </w:rPr>
            </w:pPr>
          </w:p>
        </w:tc>
        <w:tc>
          <w:tcPr>
            <w:tcW w:w="3576" w:type="dxa"/>
            <w:tcBorders>
              <w:top w:val="dashSmallGap" w:sz="4" w:space="0" w:color="auto"/>
            </w:tcBorders>
          </w:tcPr>
          <w:p w14:paraId="408CC596" w14:textId="77777777" w:rsidR="00490599" w:rsidRPr="005C1A1A" w:rsidRDefault="00490599" w:rsidP="00334F06">
            <w:pPr>
              <w:jc w:val="center"/>
              <w:rPr>
                <w:rFonts w:ascii="Century Gothic" w:hAnsi="Century Gothic"/>
                <w:bCs/>
              </w:rPr>
            </w:pPr>
            <w:r w:rsidRPr="005C1A1A">
              <w:rPr>
                <w:rFonts w:ascii="Century Gothic" w:hAnsi="Century Gothic"/>
                <w:bCs/>
              </w:rPr>
              <w:t>Eigenhändige Unterschrift</w:t>
            </w:r>
          </w:p>
        </w:tc>
      </w:tr>
    </w:tbl>
    <w:p w14:paraId="4A9B73DB" w14:textId="77777777" w:rsidR="00490599" w:rsidRPr="005C1A1A" w:rsidRDefault="00490599">
      <w:pPr>
        <w:rPr>
          <w:rFonts w:ascii="Century Gothic" w:hAnsi="Century Gothic"/>
          <w:b/>
          <w:sz w:val="14"/>
          <w:szCs w:val="14"/>
        </w:rPr>
      </w:pPr>
      <w:r w:rsidRPr="005C1A1A">
        <w:rPr>
          <w:rFonts w:ascii="Century Gothic" w:hAnsi="Century Gothic"/>
          <w:b/>
          <w:sz w:val="14"/>
          <w:szCs w:val="14"/>
        </w:rPr>
        <w:br w:type="page"/>
      </w:r>
    </w:p>
    <w:p w14:paraId="48B86CDA" w14:textId="77777777" w:rsidR="00F426A8" w:rsidRPr="005C1A1A" w:rsidRDefault="00F426A8" w:rsidP="00490599">
      <w:pPr>
        <w:numPr>
          <w:ilvl w:val="12"/>
          <w:numId w:val="0"/>
        </w:numPr>
        <w:spacing w:line="360" w:lineRule="atLeast"/>
        <w:jc w:val="both"/>
        <w:rPr>
          <w:rFonts w:ascii="Century Gothic" w:hAnsi="Century Gothic"/>
          <w:b/>
        </w:rPr>
      </w:pPr>
      <w:r w:rsidRPr="005C1A1A">
        <w:rPr>
          <w:rFonts w:ascii="Century Gothic" w:hAnsi="Century Gothic"/>
          <w:b/>
        </w:rPr>
        <w:lastRenderedPageBreak/>
        <w:t xml:space="preserve">4. </w:t>
      </w:r>
      <w:r w:rsidR="00490599" w:rsidRPr="005C1A1A">
        <w:rPr>
          <w:rFonts w:ascii="Century Gothic" w:hAnsi="Century Gothic"/>
          <w:b/>
        </w:rPr>
        <w:t>Gesetzestextauszug</w:t>
      </w:r>
      <w:r w:rsidRPr="005C1A1A">
        <w:rPr>
          <w:rFonts w:ascii="Century Gothic" w:hAnsi="Century Gothic"/>
          <w:b/>
        </w:rPr>
        <w:t>:</w:t>
      </w:r>
    </w:p>
    <w:p w14:paraId="6634CE4B" w14:textId="77777777" w:rsidR="00490599" w:rsidRPr="005C1A1A" w:rsidRDefault="00490599" w:rsidP="009F514C">
      <w:pPr>
        <w:pStyle w:val="Default"/>
        <w:widowControl w:val="0"/>
        <w:spacing w:before="120"/>
        <w:rPr>
          <w:rFonts w:ascii="Century Gothic" w:hAnsi="Century Gothic"/>
          <w:color w:val="auto"/>
          <w:sz w:val="20"/>
          <w:szCs w:val="20"/>
        </w:rPr>
      </w:pPr>
      <w:r w:rsidRPr="005C1A1A">
        <w:rPr>
          <w:rFonts w:ascii="Century Gothic" w:hAnsi="Century Gothic"/>
          <w:b/>
          <w:bCs/>
          <w:color w:val="auto"/>
          <w:sz w:val="20"/>
          <w:szCs w:val="20"/>
        </w:rPr>
        <w:t xml:space="preserve">§ 6 DSG </w:t>
      </w:r>
      <w:r w:rsidR="003503DB" w:rsidRPr="005C1A1A">
        <w:rPr>
          <w:rFonts w:ascii="Century Gothic" w:hAnsi="Century Gothic"/>
          <w:b/>
          <w:bCs/>
          <w:color w:val="auto"/>
          <w:sz w:val="20"/>
          <w:szCs w:val="20"/>
        </w:rPr>
        <w:t xml:space="preserve"> </w:t>
      </w:r>
      <w:r w:rsidRPr="005C1A1A">
        <w:rPr>
          <w:rFonts w:ascii="Century Gothic" w:hAnsi="Century Gothic"/>
          <w:b/>
          <w:bCs/>
          <w:color w:val="auto"/>
          <w:sz w:val="20"/>
          <w:szCs w:val="20"/>
        </w:rPr>
        <w:t xml:space="preserve"> - Datengeheimnis </w:t>
      </w:r>
    </w:p>
    <w:p w14:paraId="12DB110E" w14:textId="77777777" w:rsidR="00490599" w:rsidRPr="005C1A1A" w:rsidRDefault="00490599" w:rsidP="009F514C">
      <w:pPr>
        <w:pStyle w:val="Default"/>
        <w:widowControl w:val="0"/>
        <w:rPr>
          <w:rFonts w:ascii="Century Gothic" w:hAnsi="Century Gothic"/>
          <w:color w:val="auto"/>
          <w:sz w:val="20"/>
          <w:szCs w:val="20"/>
        </w:rPr>
      </w:pPr>
      <w:r w:rsidRPr="005C1A1A">
        <w:rPr>
          <w:rFonts w:ascii="Century Gothic" w:hAnsi="Century Gothic"/>
          <w:color w:val="auto"/>
          <w:sz w:val="20"/>
          <w:szCs w:val="20"/>
        </w:rPr>
        <w:t>(1) Der Verantwortliche, der Auftragsverarbeiter und ihre Mitarbeiter – das sind Arbeitnehmer (Dienstnehmer) und Personen in einem arbeitnehmerähnlichen (dienstnehme</w:t>
      </w:r>
      <w:r w:rsidR="005C1A1A" w:rsidRPr="005C1A1A">
        <w:rPr>
          <w:rFonts w:ascii="Century Gothic" w:hAnsi="Century Gothic"/>
          <w:color w:val="auto"/>
          <w:sz w:val="20"/>
          <w:szCs w:val="20"/>
        </w:rPr>
        <w:t>r</w:t>
      </w:r>
      <w:r w:rsidRPr="005C1A1A">
        <w:rPr>
          <w:rFonts w:ascii="Century Gothic" w:hAnsi="Century Gothic"/>
          <w:color w:val="auto"/>
          <w:sz w:val="20"/>
          <w:szCs w:val="20"/>
        </w:rPr>
        <w:t xml:space="preserve">ähnlichen) Verhältnis – haben personenbezogene Daten aus Datenverarbeitungen, die ihnen ausschließlich auf Grund ihrer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w:t>
      </w:r>
      <w:r w:rsidR="009F514C">
        <w:rPr>
          <w:rFonts w:ascii="Century Gothic" w:hAnsi="Century Gothic"/>
          <w:color w:val="auto"/>
          <w:sz w:val="20"/>
          <w:szCs w:val="20"/>
        </w:rPr>
        <w:t>Daten besteht (Datengeheimnis).</w:t>
      </w:r>
    </w:p>
    <w:p w14:paraId="7929F896" w14:textId="77777777" w:rsidR="00490599" w:rsidRPr="005C1A1A" w:rsidRDefault="00490599" w:rsidP="00490599">
      <w:pPr>
        <w:pStyle w:val="Default"/>
        <w:widowControl w:val="0"/>
        <w:rPr>
          <w:rFonts w:ascii="Century Gothic" w:hAnsi="Century Gothic"/>
          <w:color w:val="auto"/>
          <w:sz w:val="20"/>
          <w:szCs w:val="20"/>
        </w:rPr>
      </w:pPr>
      <w:r w:rsidRPr="005C1A1A">
        <w:rPr>
          <w:rFonts w:ascii="Century Gothic" w:hAnsi="Century Gothic"/>
          <w:color w:val="auto"/>
          <w:sz w:val="20"/>
          <w:szCs w:val="20"/>
        </w:rPr>
        <w:t>(2) Mitarbeiter dürfen personenbezogene Daten nur auf Grund einer ausdrücklichen Anordnung ihres Arbeitgebers (Dienstgebers) übermitteln. Der Verantwortliche und der Auftragsverarbeiter haben, sofern eine solche Verpflichtung ihrer Mitarbeiter nicht schon kraft Gesetzes besteht, diese vertraglich zu verpflichten, personenbezogene Daten aus Datenver</w:t>
      </w:r>
      <w:r w:rsidR="005C1A1A" w:rsidRPr="005C1A1A">
        <w:rPr>
          <w:rFonts w:ascii="Century Gothic" w:hAnsi="Century Gothic"/>
          <w:color w:val="auto"/>
          <w:sz w:val="20"/>
          <w:szCs w:val="20"/>
        </w:rPr>
        <w:softHyphen/>
      </w:r>
      <w:r w:rsidRPr="005C1A1A">
        <w:rPr>
          <w:rFonts w:ascii="Century Gothic" w:hAnsi="Century Gothic"/>
          <w:color w:val="auto"/>
          <w:sz w:val="20"/>
          <w:szCs w:val="20"/>
        </w:rPr>
        <w:t>arbeitungen nur aufgrund von Anordnungen zu übermitteln und das Datengeheimnis auch nach Beendigung des Arbeitsver</w:t>
      </w:r>
      <w:r w:rsidR="009F514C">
        <w:rPr>
          <w:rFonts w:ascii="Century Gothic" w:hAnsi="Century Gothic"/>
          <w:color w:val="auto"/>
          <w:sz w:val="20"/>
          <w:szCs w:val="20"/>
        </w:rPr>
        <w:softHyphen/>
      </w:r>
      <w:r w:rsidRPr="005C1A1A">
        <w:rPr>
          <w:rFonts w:ascii="Century Gothic" w:hAnsi="Century Gothic"/>
          <w:color w:val="auto"/>
          <w:sz w:val="20"/>
          <w:szCs w:val="20"/>
        </w:rPr>
        <w:t xml:space="preserve">hältnisses (Dienstverhältnisses) zum Verantwortlichen oder Auftragsverarbeiter einzuhalten. </w:t>
      </w:r>
    </w:p>
    <w:p w14:paraId="5A327CAA" w14:textId="77777777" w:rsidR="00490599" w:rsidRPr="005C1A1A" w:rsidRDefault="00490599" w:rsidP="00490599">
      <w:pPr>
        <w:pStyle w:val="Default"/>
        <w:widowControl w:val="0"/>
        <w:rPr>
          <w:rFonts w:ascii="Century Gothic" w:hAnsi="Century Gothic"/>
          <w:color w:val="auto"/>
          <w:sz w:val="20"/>
          <w:szCs w:val="20"/>
        </w:rPr>
      </w:pPr>
      <w:r w:rsidRPr="005C1A1A">
        <w:rPr>
          <w:rFonts w:ascii="Century Gothic" w:hAnsi="Century Gothic"/>
          <w:color w:val="auto"/>
          <w:sz w:val="20"/>
          <w:szCs w:val="20"/>
        </w:rPr>
        <w:t xml:space="preserve">(3) Der Verantwortliche und der Auftragsverarbeiter haben die von der Anordnung betroffenen Mitarbeiter über die für sie geltenden Übermittlungsanordnungen und über die Folgen einer Verletzung des Datengeheimnisses zu belehren. </w:t>
      </w:r>
    </w:p>
    <w:p w14:paraId="5DE56E6E" w14:textId="77777777" w:rsidR="00490599" w:rsidRPr="005C1A1A" w:rsidRDefault="00490599" w:rsidP="00490599">
      <w:pPr>
        <w:pStyle w:val="Default"/>
        <w:widowControl w:val="0"/>
        <w:rPr>
          <w:rFonts w:ascii="Century Gothic" w:hAnsi="Century Gothic"/>
          <w:color w:val="auto"/>
          <w:sz w:val="20"/>
          <w:szCs w:val="20"/>
        </w:rPr>
      </w:pPr>
      <w:r w:rsidRPr="005C1A1A">
        <w:rPr>
          <w:rFonts w:ascii="Century Gothic" w:hAnsi="Century Gothic"/>
          <w:color w:val="auto"/>
          <w:sz w:val="20"/>
          <w:szCs w:val="20"/>
        </w:rPr>
        <w:t xml:space="preserve">(4) Unbeschadet des verfassungsrechtlichen Weisungsrechts darf einem Mitarbeiter aus der Verweigerung der Befolgung einer Anordnung zur unzulässigen Datenübermittlung kein Nachteil erwachsen. </w:t>
      </w:r>
    </w:p>
    <w:p w14:paraId="45CA68A6" w14:textId="77777777" w:rsidR="00490599" w:rsidRPr="005C1A1A" w:rsidRDefault="00490599" w:rsidP="009F514C">
      <w:pPr>
        <w:widowControl w:val="0"/>
        <w:rPr>
          <w:rFonts w:ascii="Century Gothic" w:hAnsi="Century Gothic"/>
          <w:sz w:val="20"/>
          <w:szCs w:val="20"/>
        </w:rPr>
      </w:pPr>
      <w:r w:rsidRPr="005C1A1A">
        <w:rPr>
          <w:rFonts w:ascii="Century Gothic" w:hAnsi="Century Gothic"/>
          <w:sz w:val="20"/>
          <w:szCs w:val="20"/>
        </w:rPr>
        <w:t>(5) Ein zugunsten eines Verantwortlichen bestehendes gesetzliches Aussageverweigerungsrecht darf nicht durch die Inanspruchnahme eines für diesen tätigen Auftragsverarbeiters, insbesondere nicht durch die Sicherstellung</w:t>
      </w:r>
    </w:p>
    <w:p w14:paraId="011D775C" w14:textId="77777777" w:rsidR="00490599" w:rsidRPr="005C1A1A" w:rsidRDefault="00490599" w:rsidP="009F514C">
      <w:pPr>
        <w:pStyle w:val="Default"/>
        <w:widowControl w:val="0"/>
        <w:spacing w:before="120"/>
        <w:rPr>
          <w:rFonts w:ascii="Century Gothic" w:hAnsi="Century Gothic"/>
          <w:b/>
          <w:bCs/>
          <w:color w:val="auto"/>
          <w:sz w:val="20"/>
          <w:szCs w:val="20"/>
        </w:rPr>
      </w:pPr>
      <w:r w:rsidRPr="005C1A1A">
        <w:rPr>
          <w:rFonts w:ascii="Century Gothic" w:hAnsi="Century Gothic"/>
          <w:b/>
          <w:bCs/>
          <w:color w:val="auto"/>
          <w:sz w:val="20"/>
          <w:szCs w:val="20"/>
        </w:rPr>
        <w:t xml:space="preserve">§ 54 DSG - Datensicherheitsmaßnahmen </w:t>
      </w:r>
    </w:p>
    <w:p w14:paraId="6278A9BC"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(1) Der Verantwortliche und der Auftragsverarbeiter haben unter Berücksichtigung des Stands der Technik, der Implementierungskosten und der Art, des Umfangs, der Umstände und der Zwecke der Verarbeitung sowie der unterschiedlichen Eintrittswahrscheinlichkeit und Schwere des Risikos für die Rechte und Freiheiten natürlicher Personen, unter Berück</w:t>
      </w:r>
      <w:r w:rsidR="005C1A1A" w:rsidRPr="005C1A1A">
        <w:rPr>
          <w:rFonts w:ascii="Century Gothic" w:hAnsi="Century Gothic"/>
          <w:color w:val="auto"/>
          <w:sz w:val="20"/>
          <w:szCs w:val="20"/>
        </w:rPr>
        <w:softHyphen/>
      </w:r>
      <w:r w:rsidRPr="005C1A1A">
        <w:rPr>
          <w:rFonts w:ascii="Century Gothic" w:hAnsi="Century Gothic"/>
          <w:color w:val="auto"/>
          <w:sz w:val="20"/>
          <w:szCs w:val="20"/>
        </w:rPr>
        <w:t xml:space="preserve">sichtigung der unterschiedlichen Kategorien gemäß § 37, geeignete technische und organisatorische Maßnahmen zu treffen, um ein dem Risiko angemessenes Schutzniveau zu gewährleisten, insbesondere im Hinblick auf die Verarbeitung besonderer Kategorien personenbezogener Daten gemäß § 39. </w:t>
      </w:r>
    </w:p>
    <w:p w14:paraId="4A147CAC"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(2) Der Verantwortliche und der Auftragsverarbeiter haben im Hinblick auf die automatisierte Verar</w:t>
      </w:r>
      <w:r w:rsidR="009F514C">
        <w:rPr>
          <w:rFonts w:ascii="Century Gothic" w:hAnsi="Century Gothic"/>
          <w:color w:val="auto"/>
          <w:sz w:val="20"/>
          <w:szCs w:val="20"/>
        </w:rPr>
        <w:softHyphen/>
      </w:r>
      <w:r w:rsidRPr="005C1A1A">
        <w:rPr>
          <w:rFonts w:ascii="Century Gothic" w:hAnsi="Century Gothic"/>
          <w:color w:val="auto"/>
          <w:sz w:val="20"/>
          <w:szCs w:val="20"/>
        </w:rPr>
        <w:t>beitung nach einer Risikobewertung Maßnahmen zu ergreifen, u</w:t>
      </w:r>
      <w:r w:rsidR="005C1A1A">
        <w:rPr>
          <w:rFonts w:ascii="Century Gothic" w:hAnsi="Century Gothic"/>
          <w:color w:val="auto"/>
          <w:sz w:val="20"/>
          <w:szCs w:val="20"/>
        </w:rPr>
        <w:t>m folgende Zwecke zu erreichen:</w:t>
      </w:r>
    </w:p>
    <w:p w14:paraId="0EFF9C97"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 xml:space="preserve">1. Verwehrung des Zugangs zu Verarbeitungsanlagen, mit denen die Verarbeitung durchgeführt wird, für Unbefugte (Zugangskontrolle); </w:t>
      </w:r>
    </w:p>
    <w:p w14:paraId="7F2718FB"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 xml:space="preserve">2. Verhinderung des unbefugten Lesens, Kopierens, Veränderns oder Entfernens von Datenträgern (Datenträgerkontrolle); </w:t>
      </w:r>
    </w:p>
    <w:p w14:paraId="19F64401"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 xml:space="preserve">3. Verhinderung der unbefugten Eingabe von personenbezogenen Daten sowie der unbefugten Kenntnisnahme, Veränderung und Löschung von gespeicherten personenbezogenen Daten (Speicherkontrolle); </w:t>
      </w:r>
    </w:p>
    <w:p w14:paraId="179BA6B8"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 xml:space="preserve">4. Verhinderung der Nutzung automatisierter Verarbeitungssysteme mit Hilfe von Einrichtungen zur Datenübertragung durch Unbefugte (Benutzerkontrolle); </w:t>
      </w:r>
    </w:p>
    <w:p w14:paraId="495797D7"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 xml:space="preserve">5. Gewährleistung, dass die zur Benutzung eines automatisierten Verarbeitungssystems Berechtigten ausschließlich zu den ihrer Zugangsberechtigung unterliegenden personenbezogenen Daten Zugang haben (Zugriffskontrolle); </w:t>
      </w:r>
    </w:p>
    <w:p w14:paraId="4068F962"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 xml:space="preserve">6. Gewährleistung, dass überprüft und festgestellt werden kann, an welche Stellen personenbezogene Daten mit Hilfe von Einrichtungen zur Datenübertragung übermittelt oder zur Verfügung gestellt wurden oder werden können (Übertragungskontrolle); </w:t>
      </w:r>
    </w:p>
    <w:p w14:paraId="1633FC1F"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 xml:space="preserve">7. Gewährleistung, dass nachträglich überprüft und festgestellt werden kann, welche personenbezogenen Daten zu welcher Zeit und von wem in automatisierte Verarbeitungssysteme eingegeben worden sind (Eingabekontrolle); </w:t>
      </w:r>
    </w:p>
    <w:p w14:paraId="635BEABB"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 xml:space="preserve">8. Verhinderung, dass bei der Übermittlung personenbezogener Daten sowie beim Transport von Datenträgern die Daten unbefugt gelesen, kopiert, verändert oder gelöscht werden können (Transportkontrolle); </w:t>
      </w:r>
    </w:p>
    <w:p w14:paraId="5848EDFC" w14:textId="77777777" w:rsidR="00490599" w:rsidRPr="005C1A1A" w:rsidRDefault="00490599" w:rsidP="00490599">
      <w:pPr>
        <w:pStyle w:val="Default"/>
        <w:rPr>
          <w:rFonts w:ascii="Century Gothic" w:hAnsi="Century Gothic"/>
          <w:color w:val="auto"/>
          <w:sz w:val="20"/>
          <w:szCs w:val="20"/>
        </w:rPr>
      </w:pPr>
      <w:r w:rsidRPr="005C1A1A">
        <w:rPr>
          <w:rFonts w:ascii="Century Gothic" w:hAnsi="Century Gothic"/>
          <w:color w:val="auto"/>
          <w:sz w:val="20"/>
          <w:szCs w:val="20"/>
        </w:rPr>
        <w:t xml:space="preserve">9. Gewährleistung, dass eingesetzte Systeme im Störungsfall wiederhergestellt werden können (Wiederherstellung); </w:t>
      </w:r>
    </w:p>
    <w:p w14:paraId="00DEC587" w14:textId="77777777" w:rsidR="00490599" w:rsidRPr="005C1A1A" w:rsidRDefault="00490599" w:rsidP="00490599">
      <w:pPr>
        <w:widowControl w:val="0"/>
        <w:spacing w:after="120"/>
        <w:rPr>
          <w:rFonts w:ascii="Century Gothic" w:hAnsi="Century Gothic"/>
          <w:sz w:val="20"/>
          <w:szCs w:val="20"/>
        </w:rPr>
      </w:pPr>
      <w:r w:rsidRPr="005C1A1A">
        <w:rPr>
          <w:rFonts w:ascii="Century Gothic" w:hAnsi="Century Gothic"/>
          <w:sz w:val="20"/>
          <w:szCs w:val="20"/>
        </w:rPr>
        <w:t>10. Gewährleistung, dass alle Funktionen des Systems zur Verfügung stehen, auftretende Fehlfunktionen gemeldet werden (Zuverlässigkeit) und gespeicherte personenbezogene Daten nicht durch Fehlfunktionen des Systems beschädigt werden können (Datenintegrität).</w:t>
      </w:r>
    </w:p>
    <w:sectPr w:rsidR="00490599" w:rsidRPr="005C1A1A" w:rsidSect="002A4BF9">
      <w:footerReference w:type="default" r:id="rId10"/>
      <w:pgSz w:w="11906" w:h="16838"/>
      <w:pgMar w:top="709" w:right="991" w:bottom="426" w:left="1134"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42327" w14:textId="77777777" w:rsidR="00120FC4" w:rsidRDefault="00120FC4">
      <w:r>
        <w:separator/>
      </w:r>
    </w:p>
  </w:endnote>
  <w:endnote w:type="continuationSeparator" w:id="0">
    <w:p w14:paraId="25FC4578" w14:textId="77777777" w:rsidR="00120FC4" w:rsidRDefault="0012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D566" w14:textId="77777777" w:rsidR="002A4BF9" w:rsidRPr="0026019B" w:rsidRDefault="002A4BF9" w:rsidP="002A4BF9">
    <w:pPr>
      <w:jc w:val="both"/>
      <w:rPr>
        <w:rFonts w:ascii="Century Gothic" w:hAnsi="Century Gothic"/>
        <w:color w:val="808080" w:themeColor="background1" w:themeShade="80"/>
        <w:sz w:val="14"/>
        <w:szCs w:val="14"/>
      </w:rPr>
    </w:pPr>
    <w:r w:rsidRPr="0026019B">
      <w:rPr>
        <w:rFonts w:ascii="Century Gothic" w:hAnsi="Century Gothic"/>
        <w:color w:val="808080" w:themeColor="background1" w:themeShade="80"/>
        <w:sz w:val="14"/>
        <w:szCs w:val="14"/>
      </w:rPr>
      <w:t>Das Urheberrecht für die Inhalte liegt beim Österreichischen Blasmusikverband. Die Verwendung ist allen dem ÖBV angeschlossenen Landes- und Bezirksverbänden und deren Musikvereinen gestattet. Anderen Personen ist dies untersagt.</w:t>
    </w:r>
  </w:p>
  <w:p w14:paraId="6301616D" w14:textId="77777777" w:rsidR="00DE4921" w:rsidRDefault="00DE4921">
    <w:pPr>
      <w:pStyle w:val="Fuzeile"/>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4781B" w14:textId="77777777" w:rsidR="00120FC4" w:rsidRDefault="00120FC4">
      <w:r>
        <w:separator/>
      </w:r>
    </w:p>
  </w:footnote>
  <w:footnote w:type="continuationSeparator" w:id="0">
    <w:p w14:paraId="391B4AC2" w14:textId="77777777" w:rsidR="00120FC4" w:rsidRDefault="00120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ACA094"/>
    <w:lvl w:ilvl="0">
      <w:numFmt w:val="bullet"/>
      <w:lvlText w:val="*"/>
      <w:lvlJc w:val="left"/>
    </w:lvl>
  </w:abstractNum>
  <w:abstractNum w:abstractNumId="1" w15:restartNumberingAfterBreak="0">
    <w:nsid w:val="199C1BFA"/>
    <w:multiLevelType w:val="hybridMultilevel"/>
    <w:tmpl w:val="E9D885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1AB4AAB"/>
    <w:multiLevelType w:val="hybridMultilevel"/>
    <w:tmpl w:val="69AC8D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C5"/>
    <w:rsid w:val="00004871"/>
    <w:rsid w:val="000056F9"/>
    <w:rsid w:val="00007B86"/>
    <w:rsid w:val="00053233"/>
    <w:rsid w:val="00075C36"/>
    <w:rsid w:val="00077FA6"/>
    <w:rsid w:val="000916A5"/>
    <w:rsid w:val="000D773C"/>
    <w:rsid w:val="000F5936"/>
    <w:rsid w:val="00102A38"/>
    <w:rsid w:val="00110ED4"/>
    <w:rsid w:val="00115472"/>
    <w:rsid w:val="00120FC4"/>
    <w:rsid w:val="00191FA7"/>
    <w:rsid w:val="001A21E6"/>
    <w:rsid w:val="001D1113"/>
    <w:rsid w:val="00215782"/>
    <w:rsid w:val="002228E0"/>
    <w:rsid w:val="00231C81"/>
    <w:rsid w:val="00266C1E"/>
    <w:rsid w:val="0027431A"/>
    <w:rsid w:val="0027699F"/>
    <w:rsid w:val="002A4BF9"/>
    <w:rsid w:val="002B6F27"/>
    <w:rsid w:val="003068FB"/>
    <w:rsid w:val="003144E1"/>
    <w:rsid w:val="00334F06"/>
    <w:rsid w:val="00343ADD"/>
    <w:rsid w:val="003503DB"/>
    <w:rsid w:val="003D7BC8"/>
    <w:rsid w:val="003F2775"/>
    <w:rsid w:val="004117D9"/>
    <w:rsid w:val="004371A9"/>
    <w:rsid w:val="004577D3"/>
    <w:rsid w:val="004625DC"/>
    <w:rsid w:val="00482DB9"/>
    <w:rsid w:val="00490599"/>
    <w:rsid w:val="004C20E6"/>
    <w:rsid w:val="00503170"/>
    <w:rsid w:val="005049EA"/>
    <w:rsid w:val="0052308A"/>
    <w:rsid w:val="005653C7"/>
    <w:rsid w:val="00582018"/>
    <w:rsid w:val="005843E7"/>
    <w:rsid w:val="005916D2"/>
    <w:rsid w:val="005B1D0B"/>
    <w:rsid w:val="005C1A1A"/>
    <w:rsid w:val="006121AD"/>
    <w:rsid w:val="00612CFC"/>
    <w:rsid w:val="00617E13"/>
    <w:rsid w:val="00631FA4"/>
    <w:rsid w:val="00683E56"/>
    <w:rsid w:val="006870E6"/>
    <w:rsid w:val="0069140F"/>
    <w:rsid w:val="006C571B"/>
    <w:rsid w:val="006C709A"/>
    <w:rsid w:val="00700E2B"/>
    <w:rsid w:val="007037F7"/>
    <w:rsid w:val="00720C32"/>
    <w:rsid w:val="00756D2C"/>
    <w:rsid w:val="0078082D"/>
    <w:rsid w:val="007B15E8"/>
    <w:rsid w:val="007F47BD"/>
    <w:rsid w:val="007F5DAD"/>
    <w:rsid w:val="008436ED"/>
    <w:rsid w:val="008534A5"/>
    <w:rsid w:val="008A55A0"/>
    <w:rsid w:val="008B3A0E"/>
    <w:rsid w:val="008F2DA7"/>
    <w:rsid w:val="00901869"/>
    <w:rsid w:val="0094318F"/>
    <w:rsid w:val="009500F5"/>
    <w:rsid w:val="009547D2"/>
    <w:rsid w:val="00967389"/>
    <w:rsid w:val="00970750"/>
    <w:rsid w:val="009754AD"/>
    <w:rsid w:val="009D044A"/>
    <w:rsid w:val="009D4C74"/>
    <w:rsid w:val="009F22A7"/>
    <w:rsid w:val="009F514C"/>
    <w:rsid w:val="00A00526"/>
    <w:rsid w:val="00A236F2"/>
    <w:rsid w:val="00A65415"/>
    <w:rsid w:val="00A65D89"/>
    <w:rsid w:val="00A724A2"/>
    <w:rsid w:val="00A72E1A"/>
    <w:rsid w:val="00A80A02"/>
    <w:rsid w:val="00A84FFB"/>
    <w:rsid w:val="00AB362D"/>
    <w:rsid w:val="00AB6D83"/>
    <w:rsid w:val="00AB7E20"/>
    <w:rsid w:val="00AC7BC5"/>
    <w:rsid w:val="00AD4635"/>
    <w:rsid w:val="00AE5880"/>
    <w:rsid w:val="00AF62EF"/>
    <w:rsid w:val="00AF6C43"/>
    <w:rsid w:val="00B20392"/>
    <w:rsid w:val="00B364B5"/>
    <w:rsid w:val="00B93DE3"/>
    <w:rsid w:val="00BD650B"/>
    <w:rsid w:val="00C17398"/>
    <w:rsid w:val="00C2124E"/>
    <w:rsid w:val="00C3561A"/>
    <w:rsid w:val="00C6616D"/>
    <w:rsid w:val="00CB0A27"/>
    <w:rsid w:val="00CB124D"/>
    <w:rsid w:val="00CB1797"/>
    <w:rsid w:val="00CC75E3"/>
    <w:rsid w:val="00D0359E"/>
    <w:rsid w:val="00D056EA"/>
    <w:rsid w:val="00D225F7"/>
    <w:rsid w:val="00D42312"/>
    <w:rsid w:val="00D82E73"/>
    <w:rsid w:val="00D936A7"/>
    <w:rsid w:val="00DA779B"/>
    <w:rsid w:val="00DB6CBA"/>
    <w:rsid w:val="00DC0281"/>
    <w:rsid w:val="00DC545D"/>
    <w:rsid w:val="00DE4921"/>
    <w:rsid w:val="00DE66A9"/>
    <w:rsid w:val="00DF6F01"/>
    <w:rsid w:val="00E01790"/>
    <w:rsid w:val="00E1197F"/>
    <w:rsid w:val="00E733C2"/>
    <w:rsid w:val="00EB563B"/>
    <w:rsid w:val="00ED78B2"/>
    <w:rsid w:val="00F15234"/>
    <w:rsid w:val="00F426A8"/>
    <w:rsid w:val="00F45223"/>
    <w:rsid w:val="00F54617"/>
    <w:rsid w:val="00F75A8A"/>
    <w:rsid w:val="00FA3690"/>
    <w:rsid w:val="00FA3C8A"/>
    <w:rsid w:val="00FB13E9"/>
    <w:rsid w:val="00FB4A29"/>
    <w:rsid w:val="00FC2A56"/>
    <w:rsid w:val="00FD071D"/>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D580BC"/>
  <w15:docId w15:val="{6F5D0160-8238-4742-B531-1CAAA004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eastAsia="de-DE" w:bidi="ar-SA"/>
    </w:rPr>
  </w:style>
  <w:style w:type="paragraph" w:styleId="berschrift1">
    <w:name w:val="heading 1"/>
    <w:basedOn w:val="Standard"/>
    <w:next w:val="Standard"/>
    <w:qFormat/>
    <w:pPr>
      <w:keepNext/>
      <w:spacing w:after="120"/>
      <w:jc w:val="center"/>
      <w:outlineLvl w:val="0"/>
    </w:pPr>
    <w:rPr>
      <w:rFonts w:ascii="Arial" w:hAnsi="Arial"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266C1E"/>
    <w:rPr>
      <w:rFonts w:ascii="Tahoma" w:hAnsi="Tahoma" w:cs="Tahoma"/>
      <w:sz w:val="16"/>
      <w:szCs w:val="16"/>
    </w:rPr>
  </w:style>
  <w:style w:type="paragraph" w:styleId="Listenabsatz">
    <w:name w:val="List Paragraph"/>
    <w:basedOn w:val="Standard"/>
    <w:uiPriority w:val="34"/>
    <w:qFormat/>
    <w:rsid w:val="00A00526"/>
    <w:pPr>
      <w:ind w:left="720"/>
      <w:contextualSpacing/>
    </w:pPr>
  </w:style>
  <w:style w:type="character" w:styleId="Hyperlink">
    <w:name w:val="Hyperlink"/>
    <w:basedOn w:val="Absatz-Standardschriftart"/>
    <w:rsid w:val="00D936A7"/>
    <w:rPr>
      <w:color w:val="0000FF" w:themeColor="hyperlink"/>
      <w:u w:val="single"/>
    </w:rPr>
  </w:style>
  <w:style w:type="paragraph" w:customStyle="1" w:styleId="Default">
    <w:name w:val="Default"/>
    <w:rsid w:val="00490599"/>
    <w:pPr>
      <w:autoSpaceDE w:val="0"/>
      <w:autoSpaceDN w:val="0"/>
      <w:adjustRightInd w:val="0"/>
    </w:pPr>
    <w:rPr>
      <w:color w:val="000000"/>
      <w:sz w:val="24"/>
      <w:szCs w:val="24"/>
    </w:rPr>
  </w:style>
  <w:style w:type="table" w:styleId="Tabellenraster">
    <w:name w:val="Table Grid"/>
    <w:basedOn w:val="NormaleTabelle"/>
    <w:rsid w:val="00490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DE/TXT/PDF/?uri=CELEX:32016R0679&amp;from=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is.bka.gv.at/Dokumente/BgblAuth/BGBLA_2017_I_120/BGBLA_2017_I_12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5961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Bezirks-EDV-Referenten Tagung</vt:lpstr>
    </vt:vector>
  </TitlesOfParts>
  <Company>JOANNEUM RESEARCH</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Bezirks-EDV-Referenten Tagung</dc:title>
  <dc:creator>rie</dc:creator>
  <cp:lastModifiedBy>Erich Auer</cp:lastModifiedBy>
  <cp:revision>2</cp:revision>
  <cp:lastPrinted>2018-03-10T10:13:00Z</cp:lastPrinted>
  <dcterms:created xsi:type="dcterms:W3CDTF">2018-05-22T22:08:00Z</dcterms:created>
  <dcterms:modified xsi:type="dcterms:W3CDTF">2018-05-22T22:08:00Z</dcterms:modified>
</cp:coreProperties>
</file>